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BA58" w14:textId="77777777" w:rsidR="005C47ED" w:rsidRDefault="003817D9" w:rsidP="00B25B7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>Queensland</w:t>
      </w:r>
      <w:r>
        <w:rPr>
          <w:spacing w:val="52"/>
        </w:rPr>
        <w:t xml:space="preserve"> </w:t>
      </w:r>
      <w:r>
        <w:rPr>
          <w:spacing w:val="-4"/>
        </w:rPr>
        <w:t>University</w:t>
      </w:r>
      <w:r>
        <w:rPr>
          <w:spacing w:val="52"/>
        </w:rPr>
        <w:t xml:space="preserve"> </w:t>
      </w:r>
      <w:r>
        <w:rPr>
          <w:spacing w:val="-3"/>
        </w:rPr>
        <w:t xml:space="preserve">of Technology </w:t>
      </w:r>
      <w:r>
        <w:rPr>
          <w:spacing w:val="-4"/>
        </w:rPr>
        <w:t>Council</w:t>
      </w:r>
      <w:r>
        <w:rPr>
          <w:spacing w:val="52"/>
        </w:rPr>
        <w:t xml:space="preserve"> </w:t>
      </w:r>
      <w:r>
        <w:t xml:space="preserve">is </w:t>
      </w:r>
      <w:r>
        <w:rPr>
          <w:spacing w:val="-3"/>
        </w:rPr>
        <w:t xml:space="preserve">the </w:t>
      </w:r>
      <w:r>
        <w:rPr>
          <w:spacing w:val="-4"/>
        </w:rPr>
        <w:t>governing</w:t>
      </w:r>
      <w:r>
        <w:rPr>
          <w:spacing w:val="52"/>
        </w:rPr>
        <w:t xml:space="preserve"> </w:t>
      </w:r>
      <w:r>
        <w:rPr>
          <w:spacing w:val="-3"/>
        </w:rPr>
        <w:t xml:space="preserve">body of </w:t>
      </w:r>
      <w:r>
        <w:t xml:space="preserve">the </w:t>
      </w:r>
      <w:r>
        <w:rPr>
          <w:spacing w:val="-4"/>
        </w:rPr>
        <w:t xml:space="preserve">University established </w:t>
      </w:r>
      <w:r>
        <w:t xml:space="preserve">by </w:t>
      </w:r>
      <w:r>
        <w:rPr>
          <w:spacing w:val="-3"/>
        </w:rPr>
        <w:t xml:space="preserve">the </w:t>
      </w:r>
      <w:r>
        <w:rPr>
          <w:i/>
          <w:spacing w:val="-4"/>
        </w:rPr>
        <w:t xml:space="preserve">Queensland University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Technology </w:t>
      </w:r>
      <w:r>
        <w:rPr>
          <w:i/>
          <w:spacing w:val="-3"/>
        </w:rPr>
        <w:t xml:space="preserve">Act 1998 </w:t>
      </w:r>
      <w:r>
        <w:rPr>
          <w:spacing w:val="-3"/>
        </w:rPr>
        <w:t>(the</w:t>
      </w:r>
      <w:r>
        <w:rPr>
          <w:spacing w:val="13"/>
        </w:rPr>
        <w:t xml:space="preserve"> </w:t>
      </w:r>
      <w:r>
        <w:rPr>
          <w:spacing w:val="-3"/>
        </w:rPr>
        <w:t>Act).</w:t>
      </w:r>
    </w:p>
    <w:p w14:paraId="2CA6BA59" w14:textId="77777777" w:rsidR="005C47ED" w:rsidRDefault="003817D9" w:rsidP="00B25B7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r>
        <w:rPr>
          <w:spacing w:val="-3"/>
        </w:rPr>
        <w:t xml:space="preserve">Section </w:t>
      </w:r>
      <w:r>
        <w:t xml:space="preserve">5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3"/>
        </w:rPr>
        <w:t xml:space="preserve">Act </w:t>
      </w:r>
      <w:r>
        <w:rPr>
          <w:spacing w:val="-4"/>
        </w:rPr>
        <w:t xml:space="preserve">outlines </w:t>
      </w:r>
      <w:r>
        <w:rPr>
          <w:spacing w:val="-3"/>
        </w:rPr>
        <w:t xml:space="preserve">the </w:t>
      </w:r>
      <w:r>
        <w:rPr>
          <w:spacing w:val="-4"/>
        </w:rPr>
        <w:t xml:space="preserve">functions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3"/>
        </w:rPr>
        <w:t xml:space="preserve">University </w:t>
      </w:r>
      <w:r>
        <w:rPr>
          <w:spacing w:val="-4"/>
        </w:rPr>
        <w:t xml:space="preserve">which generally </w:t>
      </w:r>
      <w:r>
        <w:rPr>
          <w:spacing w:val="-3"/>
        </w:rPr>
        <w:t xml:space="preserve">provide </w:t>
      </w:r>
      <w:r>
        <w:t xml:space="preserve">for </w:t>
      </w:r>
      <w:r>
        <w:rPr>
          <w:spacing w:val="-4"/>
        </w:rPr>
        <w:t xml:space="preserve">education </w:t>
      </w:r>
      <w:r>
        <w:t xml:space="preserve">at </w:t>
      </w:r>
      <w:r>
        <w:rPr>
          <w:spacing w:val="-4"/>
        </w:rPr>
        <w:t xml:space="preserve">university standard </w:t>
      </w:r>
      <w:r>
        <w:t xml:space="preserve">and </w:t>
      </w:r>
      <w:r>
        <w:rPr>
          <w:spacing w:val="-4"/>
        </w:rPr>
        <w:t xml:space="preserve">courses </w:t>
      </w:r>
      <w:r>
        <w:rPr>
          <w:spacing w:val="-3"/>
        </w:rPr>
        <w:t xml:space="preserve">of </w:t>
      </w:r>
      <w:r>
        <w:rPr>
          <w:spacing w:val="-4"/>
        </w:rPr>
        <w:t xml:space="preserve">study </w:t>
      </w:r>
      <w:r>
        <w:t xml:space="preserve">or </w:t>
      </w:r>
      <w:r>
        <w:rPr>
          <w:spacing w:val="-4"/>
        </w:rPr>
        <w:t xml:space="preserve">instruction </w:t>
      </w:r>
      <w:r>
        <w:rPr>
          <w:spacing w:val="-3"/>
        </w:rPr>
        <w:t xml:space="preserve">(at </w:t>
      </w:r>
      <w:r>
        <w:t xml:space="preserve">the </w:t>
      </w:r>
      <w:r>
        <w:rPr>
          <w:spacing w:val="-4"/>
        </w:rPr>
        <w:t xml:space="preserve">levels </w:t>
      </w:r>
      <w:r>
        <w:rPr>
          <w:spacing w:val="-3"/>
        </w:rPr>
        <w:t xml:space="preserve">of </w:t>
      </w:r>
      <w:r>
        <w:rPr>
          <w:spacing w:val="-4"/>
        </w:rPr>
        <w:t xml:space="preserve">achievement </w:t>
      </w:r>
      <w:r>
        <w:t xml:space="preserve">the </w:t>
      </w:r>
      <w:r>
        <w:rPr>
          <w:spacing w:val="-4"/>
        </w:rPr>
        <w:t xml:space="preserve">council considers appropriate) </w:t>
      </w:r>
      <w:r>
        <w:t xml:space="preserve">to </w:t>
      </w:r>
      <w:r>
        <w:rPr>
          <w:spacing w:val="-3"/>
        </w:rPr>
        <w:t xml:space="preserve">meet </w:t>
      </w:r>
      <w:r>
        <w:t xml:space="preserve">the </w:t>
      </w:r>
      <w:r>
        <w:rPr>
          <w:spacing w:val="-4"/>
        </w:rPr>
        <w:t xml:space="preserve">needs </w:t>
      </w:r>
      <w:r>
        <w:rPr>
          <w:spacing w:val="-3"/>
        </w:rPr>
        <w:t xml:space="preserve">of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community.</w:t>
      </w:r>
    </w:p>
    <w:p w14:paraId="2CA6BA5A" w14:textId="77777777" w:rsidR="005C47ED" w:rsidRDefault="003817D9" w:rsidP="00B25B7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r>
        <w:t xml:space="preserve">The </w:t>
      </w:r>
      <w:r>
        <w:rPr>
          <w:spacing w:val="-3"/>
        </w:rPr>
        <w:t xml:space="preserve">Act </w:t>
      </w:r>
      <w:r>
        <w:rPr>
          <w:spacing w:val="-4"/>
        </w:rPr>
        <w:t xml:space="preserve">provides </w:t>
      </w:r>
      <w:r>
        <w:t xml:space="preserve">for a 22 </w:t>
      </w:r>
      <w:r>
        <w:rPr>
          <w:spacing w:val="-4"/>
        </w:rPr>
        <w:t xml:space="preserve">member Council, including </w:t>
      </w:r>
      <w:r>
        <w:rPr>
          <w:spacing w:val="-3"/>
        </w:rPr>
        <w:t xml:space="preserve">eight </w:t>
      </w:r>
      <w:r>
        <w:rPr>
          <w:spacing w:val="-4"/>
        </w:rPr>
        <w:t xml:space="preserve">members appointed </w:t>
      </w:r>
      <w:r>
        <w:t xml:space="preserve">by </w:t>
      </w:r>
      <w:r>
        <w:rPr>
          <w:spacing w:val="-3"/>
        </w:rPr>
        <w:t xml:space="preserve">Governor </w:t>
      </w:r>
      <w:r>
        <w:t xml:space="preserve">in </w:t>
      </w:r>
      <w:r>
        <w:rPr>
          <w:spacing w:val="-4"/>
        </w:rPr>
        <w:t>Council.</w:t>
      </w:r>
    </w:p>
    <w:p w14:paraId="2CA6BA5C" w14:textId="77777777" w:rsidR="005C47ED" w:rsidRDefault="003817D9" w:rsidP="00B25B7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r>
        <w:rPr>
          <w:u w:val="single"/>
        </w:rPr>
        <w:t>Cabinet endorsed</w:t>
      </w:r>
      <w:r>
        <w:t xml:space="preserve"> that Mr Michael Gooda and Professor Susan Pond Effeney AM be recommended to the Governor in Council for appointment as members to the Queensland University of Technology </w:t>
      </w:r>
      <w:r w:rsidR="00B25B77">
        <w:t xml:space="preserve">Council </w:t>
      </w:r>
      <w:r>
        <w:t>from the date of Governor in Council approval up to and including 20 November 2020.</w:t>
      </w:r>
    </w:p>
    <w:p w14:paraId="2CA6BA5D" w14:textId="39CF3087" w:rsidR="00B25B77" w:rsidRDefault="003817D9" w:rsidP="00007240">
      <w:pPr>
        <w:pStyle w:val="ListParagraph"/>
        <w:numPr>
          <w:ilvl w:val="0"/>
          <w:numId w:val="1"/>
        </w:numPr>
        <w:tabs>
          <w:tab w:val="left" w:pos="426"/>
        </w:tabs>
        <w:spacing w:before="360" w:line="355" w:lineRule="auto"/>
        <w:ind w:left="426" w:right="0" w:hanging="426"/>
      </w:pPr>
      <w:r w:rsidRPr="00B25B77">
        <w:rPr>
          <w:i/>
          <w:u w:val="single"/>
        </w:rPr>
        <w:t>Attachment</w:t>
      </w:r>
      <w:r w:rsidR="00007240">
        <w:rPr>
          <w:i/>
          <w:u w:val="single"/>
        </w:rPr>
        <w:t>s</w:t>
      </w:r>
    </w:p>
    <w:p w14:paraId="2CA6BA5E" w14:textId="77777777" w:rsidR="005C47ED" w:rsidRPr="00B25B77" w:rsidRDefault="003817D9" w:rsidP="00007240">
      <w:pPr>
        <w:pStyle w:val="ListParagraph"/>
        <w:numPr>
          <w:ilvl w:val="0"/>
          <w:numId w:val="2"/>
        </w:numPr>
        <w:tabs>
          <w:tab w:val="left" w:pos="426"/>
        </w:tabs>
        <w:spacing w:before="120" w:line="355" w:lineRule="auto"/>
        <w:ind w:right="0"/>
      </w:pPr>
      <w:r>
        <w:t>Nil.</w:t>
      </w:r>
    </w:p>
    <w:sectPr w:rsidR="005C47ED" w:rsidRPr="00B25B77" w:rsidSect="004B33A8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317B" w14:textId="77777777" w:rsidR="003250BE" w:rsidRDefault="003250BE" w:rsidP="001035C2">
      <w:r>
        <w:separator/>
      </w:r>
    </w:p>
  </w:endnote>
  <w:endnote w:type="continuationSeparator" w:id="0">
    <w:p w14:paraId="6268A672" w14:textId="77777777" w:rsidR="003250BE" w:rsidRDefault="003250BE" w:rsidP="0010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BEEBA" w14:textId="77777777" w:rsidR="003250BE" w:rsidRDefault="003250BE" w:rsidP="001035C2">
      <w:r>
        <w:separator/>
      </w:r>
    </w:p>
  </w:footnote>
  <w:footnote w:type="continuationSeparator" w:id="0">
    <w:p w14:paraId="0D803616" w14:textId="77777777" w:rsidR="003250BE" w:rsidRDefault="003250BE" w:rsidP="0010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BA63" w14:textId="77777777" w:rsidR="001035C2" w:rsidRPr="00937A4A" w:rsidRDefault="001035C2" w:rsidP="001035C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</w:t>
    </w:r>
    <w:r>
      <w:rPr>
        <w:b/>
        <w:sz w:val="28"/>
      </w:rPr>
      <w:t>e</w:t>
    </w:r>
    <w:r w:rsidRPr="00937A4A">
      <w:rPr>
        <w:b/>
        <w:sz w:val="28"/>
      </w:rPr>
      <w:t>nt</w:t>
    </w:r>
  </w:p>
  <w:p w14:paraId="2CA6BA64" w14:textId="77777777" w:rsidR="001035C2" w:rsidRPr="00937A4A" w:rsidRDefault="001035C2" w:rsidP="001035C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CA6BA65" w14:textId="77777777" w:rsidR="001035C2" w:rsidRPr="00937A4A" w:rsidRDefault="001035C2" w:rsidP="001035C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2019</w:t>
    </w:r>
  </w:p>
  <w:p w14:paraId="2CA6BA66" w14:textId="77777777" w:rsidR="001035C2" w:rsidRDefault="001035C2" w:rsidP="001035C2">
    <w:pPr>
      <w:pStyle w:val="Header"/>
      <w:spacing w:before="120"/>
      <w:rPr>
        <w:b/>
        <w:u w:val="single"/>
      </w:rPr>
    </w:pPr>
    <w:r>
      <w:rPr>
        <w:b/>
        <w:u w:val="single"/>
      </w:rPr>
      <w:t>Appointment of two members to the Queensland University of Technology Council</w:t>
    </w:r>
  </w:p>
  <w:p w14:paraId="2CA6BA67" w14:textId="77777777" w:rsidR="001035C2" w:rsidRDefault="001035C2" w:rsidP="00B25B77">
    <w:pPr>
      <w:pStyle w:val="Header"/>
      <w:tabs>
        <w:tab w:val="clear" w:pos="4513"/>
        <w:tab w:val="clear" w:pos="9026"/>
      </w:tabs>
      <w:spacing w:before="120"/>
      <w:rPr>
        <w:b/>
        <w:u w:val="single"/>
      </w:rPr>
    </w:pPr>
    <w:r>
      <w:rPr>
        <w:b/>
        <w:u w:val="single"/>
      </w:rPr>
      <w:t>Minister for Education and Minister for Industrial Relations</w:t>
    </w:r>
  </w:p>
  <w:p w14:paraId="2CA6BA68" w14:textId="77777777" w:rsidR="001035C2" w:rsidRDefault="001035C2" w:rsidP="001035C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964"/>
    <w:multiLevelType w:val="hybridMultilevel"/>
    <w:tmpl w:val="1DF248D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A20733"/>
    <w:multiLevelType w:val="hybridMultilevel"/>
    <w:tmpl w:val="D0C6D298"/>
    <w:lvl w:ilvl="0" w:tplc="BA084634">
      <w:start w:val="1"/>
      <w:numFmt w:val="decimal"/>
      <w:lvlText w:val="%1."/>
      <w:lvlJc w:val="left"/>
      <w:pPr>
        <w:ind w:left="621" w:hanging="284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BC3E2664">
      <w:numFmt w:val="bullet"/>
      <w:lvlText w:val="•"/>
      <w:lvlJc w:val="left"/>
      <w:pPr>
        <w:ind w:left="1600" w:hanging="284"/>
      </w:pPr>
      <w:rPr>
        <w:rFonts w:hint="default"/>
      </w:rPr>
    </w:lvl>
    <w:lvl w:ilvl="2" w:tplc="2CAE7992">
      <w:numFmt w:val="bullet"/>
      <w:lvlText w:val="•"/>
      <w:lvlJc w:val="left"/>
      <w:pPr>
        <w:ind w:left="2581" w:hanging="284"/>
      </w:pPr>
      <w:rPr>
        <w:rFonts w:hint="default"/>
      </w:rPr>
    </w:lvl>
    <w:lvl w:ilvl="3" w:tplc="47945C5C">
      <w:numFmt w:val="bullet"/>
      <w:lvlText w:val="•"/>
      <w:lvlJc w:val="left"/>
      <w:pPr>
        <w:ind w:left="3561" w:hanging="284"/>
      </w:pPr>
      <w:rPr>
        <w:rFonts w:hint="default"/>
      </w:rPr>
    </w:lvl>
    <w:lvl w:ilvl="4" w:tplc="D27A1AFA">
      <w:numFmt w:val="bullet"/>
      <w:lvlText w:val="•"/>
      <w:lvlJc w:val="left"/>
      <w:pPr>
        <w:ind w:left="4542" w:hanging="284"/>
      </w:pPr>
      <w:rPr>
        <w:rFonts w:hint="default"/>
      </w:rPr>
    </w:lvl>
    <w:lvl w:ilvl="5" w:tplc="428C8878">
      <w:numFmt w:val="bullet"/>
      <w:lvlText w:val="•"/>
      <w:lvlJc w:val="left"/>
      <w:pPr>
        <w:ind w:left="5523" w:hanging="284"/>
      </w:pPr>
      <w:rPr>
        <w:rFonts w:hint="default"/>
      </w:rPr>
    </w:lvl>
    <w:lvl w:ilvl="6" w:tplc="C764C23C">
      <w:numFmt w:val="bullet"/>
      <w:lvlText w:val="•"/>
      <w:lvlJc w:val="left"/>
      <w:pPr>
        <w:ind w:left="6503" w:hanging="284"/>
      </w:pPr>
      <w:rPr>
        <w:rFonts w:hint="default"/>
      </w:rPr>
    </w:lvl>
    <w:lvl w:ilvl="7" w:tplc="01C8A94C">
      <w:numFmt w:val="bullet"/>
      <w:lvlText w:val="•"/>
      <w:lvlJc w:val="left"/>
      <w:pPr>
        <w:ind w:left="7484" w:hanging="284"/>
      </w:pPr>
      <w:rPr>
        <w:rFonts w:hint="default"/>
      </w:rPr>
    </w:lvl>
    <w:lvl w:ilvl="8" w:tplc="502647E2">
      <w:numFmt w:val="bullet"/>
      <w:lvlText w:val="•"/>
      <w:lvlJc w:val="left"/>
      <w:pPr>
        <w:ind w:left="8465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ED"/>
    <w:rsid w:val="00007240"/>
    <w:rsid w:val="001035C2"/>
    <w:rsid w:val="003250BE"/>
    <w:rsid w:val="003817D9"/>
    <w:rsid w:val="004B33A8"/>
    <w:rsid w:val="005C47ED"/>
    <w:rsid w:val="005E53E1"/>
    <w:rsid w:val="007862CF"/>
    <w:rsid w:val="007F50E0"/>
    <w:rsid w:val="00923099"/>
    <w:rsid w:val="00A728E4"/>
    <w:rsid w:val="00B25B77"/>
    <w:rsid w:val="00D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A6B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652" w:right="82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621" w:right="32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3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5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3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5C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E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03011-FC0E-469C-8B00-2CDC45943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C84EF-4A00-4569-A2A3-BDA52BD37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35E08-75D2-4249-ABE8-3DD261D5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702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830</CharactersWithSpaces>
  <SharedDoc>false</SharedDoc>
  <HyperlinkBase>https://www.cabinet.qld.gov.au/documents/2019/Feb/ApptQUT/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lastModifiedBy/>
  <cp:revision>7</cp:revision>
  <dcterms:created xsi:type="dcterms:W3CDTF">2019-01-23T13:39:00Z</dcterms:created>
  <dcterms:modified xsi:type="dcterms:W3CDTF">2019-12-11T09:19:00Z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2019-01-23T00:00:00Z</vt:filetime>
  </property>
  <property fmtid="{D5CDD505-2E9C-101B-9397-08002B2CF9AE}" pid="5" name="ContentTypeId">
    <vt:lpwstr>0x010100DDE14CFDD070B24F85F5DE43654FF01E</vt:lpwstr>
  </property>
</Properties>
</file>